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EF5" w:rsidRPr="003A1DFA" w:rsidRDefault="00AF2EF5" w:rsidP="00AF2EF5">
      <w:pPr>
        <w:suppressAutoHyphens/>
        <w:spacing w:after="0" w:line="240" w:lineRule="auto"/>
        <w:rPr>
          <w:rFonts w:ascii="Calibri" w:eastAsia="Calibri" w:hAnsi="Calibri" w:cs="font1333"/>
          <w:lang w:eastAsia="zh-CN"/>
        </w:rPr>
      </w:pPr>
      <w:r w:rsidRPr="003A1DFA">
        <w:rPr>
          <w:rFonts w:ascii="Times New Roman" w:eastAsia="Times New Roman" w:hAnsi="Times New Roman" w:cs="Times New Roman"/>
          <w:b/>
          <w:bCs/>
          <w:sz w:val="20"/>
          <w:szCs w:val="20"/>
          <w:lang w:val="fr-BE" w:eastAsia="zh-CN"/>
        </w:rPr>
        <w:t xml:space="preserve">* </w:t>
      </w:r>
      <w:proofErr w:type="spellStart"/>
      <w:r w:rsidRPr="003A1DFA">
        <w:rPr>
          <w:rFonts w:ascii="Times New Roman" w:eastAsia="Times New Roman" w:hAnsi="Times New Roman" w:cs="Times New Roman"/>
          <w:b/>
          <w:bCs/>
          <w:sz w:val="20"/>
          <w:szCs w:val="20"/>
          <w:lang w:val="fr-BE" w:eastAsia="zh-CN"/>
        </w:rPr>
        <w:t>Formularul</w:t>
      </w:r>
      <w:proofErr w:type="spellEnd"/>
      <w:r w:rsidRPr="003A1DFA">
        <w:rPr>
          <w:rFonts w:ascii="Times New Roman" w:eastAsia="Times New Roman" w:hAnsi="Times New Roman" w:cs="Times New Roman"/>
          <w:b/>
          <w:bCs/>
          <w:sz w:val="20"/>
          <w:szCs w:val="20"/>
          <w:lang w:val="fr-BE" w:eastAsia="zh-CN"/>
        </w:rPr>
        <w:t xml:space="preserve"> 1 – </w:t>
      </w:r>
      <w:proofErr w:type="spellStart"/>
      <w:r w:rsidRPr="003A1DFA">
        <w:rPr>
          <w:rFonts w:ascii="Times New Roman" w:eastAsia="Times New Roman" w:hAnsi="Times New Roman" w:cs="Times New Roman"/>
          <w:b/>
          <w:bCs/>
          <w:sz w:val="20"/>
          <w:szCs w:val="20"/>
          <w:lang w:val="fr-BE" w:eastAsia="zh-CN"/>
        </w:rPr>
        <w:t>Cerere</w:t>
      </w:r>
      <w:proofErr w:type="spellEnd"/>
      <w:r w:rsidRPr="003A1DFA">
        <w:rPr>
          <w:rFonts w:ascii="Times New Roman" w:eastAsia="Times New Roman" w:hAnsi="Times New Roman" w:cs="Times New Roman"/>
          <w:b/>
          <w:bCs/>
          <w:sz w:val="20"/>
          <w:szCs w:val="20"/>
          <w:lang w:val="fr-BE" w:eastAsia="zh-CN"/>
        </w:rPr>
        <w:t xml:space="preserve"> de </w:t>
      </w:r>
      <w:proofErr w:type="spellStart"/>
      <w:r w:rsidRPr="003A1DFA">
        <w:rPr>
          <w:rFonts w:ascii="Times New Roman" w:eastAsia="Times New Roman" w:hAnsi="Times New Roman" w:cs="Times New Roman"/>
          <w:b/>
          <w:bCs/>
          <w:sz w:val="20"/>
          <w:szCs w:val="20"/>
          <w:lang w:val="fr-BE" w:eastAsia="zh-CN"/>
        </w:rPr>
        <w:t>înscriere</w:t>
      </w:r>
      <w:proofErr w:type="spellEnd"/>
    </w:p>
    <w:p w:rsidR="00AF2EF5" w:rsidRPr="003A1DFA" w:rsidRDefault="00AF2EF5" w:rsidP="00AF2EF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:rsidR="00AF2EF5" w:rsidRPr="003A1DFA" w:rsidRDefault="00AF2EF5" w:rsidP="00AF2EF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3A1DFA">
        <w:rPr>
          <w:rFonts w:ascii="Times New Roman" w:eastAsia="Calibri" w:hAnsi="Times New Roman" w:cs="Times New Roman"/>
          <w:lang w:eastAsia="zh-CN"/>
        </w:rPr>
        <w:t xml:space="preserve">Subsemnatul(a), __________________________________________________________________, </w:t>
      </w:r>
    </w:p>
    <w:p w:rsidR="00AF2EF5" w:rsidRPr="003A1DFA" w:rsidRDefault="00AF2EF5" w:rsidP="00AF2EF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:rsidR="00AF2EF5" w:rsidRPr="003A1DFA" w:rsidRDefault="00AF2EF5" w:rsidP="00AF2EF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3A1DFA">
        <w:rPr>
          <w:rFonts w:ascii="Times New Roman" w:eastAsia="Calibri" w:hAnsi="Times New Roman" w:cs="Times New Roman"/>
          <w:sz w:val="20"/>
          <w:szCs w:val="20"/>
          <w:lang w:eastAsia="zh-CN"/>
        </w:rPr>
        <w:t>Postul pentru care aplic: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7508"/>
        <w:gridCol w:w="1276"/>
      </w:tblGrid>
      <w:tr w:rsidR="00AF2EF5" w:rsidRPr="003A1DFA" w:rsidTr="005E42A1">
        <w:trPr>
          <w:trHeight w:val="242"/>
        </w:trPr>
        <w:tc>
          <w:tcPr>
            <w:tcW w:w="7508" w:type="dxa"/>
          </w:tcPr>
          <w:p w:rsidR="00AF2EF5" w:rsidRPr="003A1DFA" w:rsidRDefault="00AF2EF5" w:rsidP="005E42A1">
            <w:pPr>
              <w:widowControl w:val="0"/>
              <w:suppressAutoHyphens/>
              <w:spacing w:after="200" w:line="276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3A1DFA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Tip Post</w:t>
            </w:r>
          </w:p>
          <w:p w:rsidR="00AF2EF5" w:rsidRPr="003A1DFA" w:rsidRDefault="00AF2EF5" w:rsidP="005E42A1">
            <w:pPr>
              <w:widowControl w:val="0"/>
              <w:suppressAutoHyphens/>
              <w:spacing w:after="20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1276" w:type="dxa"/>
          </w:tcPr>
          <w:p w:rsidR="00AF2EF5" w:rsidRPr="003A1DFA" w:rsidRDefault="00AF2EF5" w:rsidP="005E42A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3A1DFA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Opțiunea candidatului/candidatei</w:t>
            </w:r>
          </w:p>
        </w:tc>
      </w:tr>
      <w:tr w:rsidR="00AF2EF5" w:rsidRPr="003A1DFA" w:rsidTr="005E42A1">
        <w:trPr>
          <w:trHeight w:val="3670"/>
        </w:trPr>
        <w:tc>
          <w:tcPr>
            <w:tcW w:w="7508" w:type="dxa"/>
          </w:tcPr>
          <w:p w:rsidR="00AF2EF5" w:rsidRPr="003A1DFA" w:rsidRDefault="00AF2EF5" w:rsidP="005E42A1">
            <w:pPr>
              <w:widowControl w:val="0"/>
              <w:suppressAutoHyphens/>
              <w:spacing w:after="200" w:line="276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3A1DFA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Administrator - </w:t>
            </w:r>
            <w:r w:rsidRPr="003A1DF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eastAsia="zh-CN"/>
              </w:rPr>
              <w:t>Studii superioare finalizate cu diplomă de licență sau echivalentă, în domeniul fundamental al ştiinţelor inginereşti, economice, sociale, juridice.</w:t>
            </w:r>
          </w:p>
          <w:p w:rsidR="00AF2EF5" w:rsidRPr="003A1DFA" w:rsidRDefault="00AF2EF5" w:rsidP="005E42A1">
            <w:pPr>
              <w:widowControl w:val="0"/>
              <w:suppressAutoHyphens/>
              <w:spacing w:after="20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 w:rsidRPr="003A1DFA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zh-CN"/>
              </w:rPr>
              <w:t>(2 posturi)</w:t>
            </w:r>
          </w:p>
          <w:p w:rsidR="00AF2EF5" w:rsidRPr="003A1DFA" w:rsidRDefault="00AF2EF5" w:rsidP="00AF2EF5">
            <w:pPr>
              <w:numPr>
                <w:ilvl w:val="0"/>
                <w:numId w:val="1"/>
              </w:numPr>
              <w:suppressAutoHyphens/>
              <w:spacing w:after="200" w:line="276" w:lineRule="auto"/>
              <w:ind w:left="325" w:hanging="14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Experienţă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în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conducerea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societăților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sau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regiilor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autonome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(art. 28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alin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1 din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Ordonanța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Urgență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Guvernului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nr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109/2011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privind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guvernanța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corporativă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întreprinderilor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publice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cu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modificările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și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completările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ulterioare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de </w:t>
            </w:r>
            <w:r w:rsidRPr="003A1D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minim 1 an</w:t>
            </w:r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;</w:t>
            </w:r>
          </w:p>
          <w:p w:rsidR="00AF2EF5" w:rsidRPr="003A1DFA" w:rsidRDefault="00AF2EF5" w:rsidP="00AF2EF5">
            <w:pPr>
              <w:numPr>
                <w:ilvl w:val="0"/>
                <w:numId w:val="1"/>
              </w:numPr>
              <w:suppressAutoHyphens/>
              <w:spacing w:after="200" w:line="276" w:lineRule="auto"/>
              <w:ind w:left="325" w:hanging="14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fr-BE"/>
              </w:rPr>
              <w:t>Studii</w:t>
            </w:r>
            <w:proofErr w:type="spellEnd"/>
            <w:r w:rsidRPr="003A1DFA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superioare şi experienţă în domeniul ştiinţelor inginereşti, economice, sociale, juridice sau în domeniul de activitate al respectivei întreprinderi publice de </w:t>
            </w:r>
            <w:r w:rsidRPr="003A1DFA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>cel puţin 7 ani</w:t>
            </w:r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fr-BE"/>
              </w:rPr>
              <w:t xml:space="preserve"> (art. 28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fr-BE"/>
              </w:rPr>
              <w:t>alin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fr-BE"/>
              </w:rPr>
              <w:t xml:space="preserve">. </w:t>
            </w:r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3 din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Ordonanța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Urgență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Guvernului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nr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109/2011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privind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guvernanța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corporativă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întreprinderilor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publice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cu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modificările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și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completările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ulterioare</w:t>
            </w:r>
            <w:proofErr w:type="spellEnd"/>
            <w:r w:rsidRPr="003A1D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).</w:t>
            </w:r>
          </w:p>
          <w:p w:rsidR="00AF2EF5" w:rsidRPr="003A1DFA" w:rsidRDefault="00AF2EF5" w:rsidP="005E42A1">
            <w:pPr>
              <w:widowControl w:val="0"/>
              <w:suppressAutoHyphens/>
              <w:spacing w:after="20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1276" w:type="dxa"/>
          </w:tcPr>
          <w:p w:rsidR="00AF2EF5" w:rsidRPr="003A1DFA" w:rsidRDefault="00AF2EF5" w:rsidP="005E42A1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</w:p>
          <w:p w:rsidR="00AF2EF5" w:rsidRPr="003A1DFA" w:rsidRDefault="00AF2EF5" w:rsidP="005E42A1">
            <w:pPr>
              <w:suppressAutoHyphens/>
              <w:spacing w:after="200" w:line="276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</w:p>
          <w:p w:rsidR="00AF2EF5" w:rsidRPr="003A1DFA" w:rsidRDefault="00AF2EF5" w:rsidP="005E42A1">
            <w:pPr>
              <w:suppressAutoHyphens/>
              <w:spacing w:after="20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AF2EF5" w:rsidRPr="003A1DFA" w:rsidTr="005E42A1">
        <w:trPr>
          <w:trHeight w:val="449"/>
        </w:trPr>
        <w:tc>
          <w:tcPr>
            <w:tcW w:w="7508" w:type="dxa"/>
          </w:tcPr>
          <w:p w:rsidR="00AF2EF5" w:rsidRPr="003A1DFA" w:rsidRDefault="00AF2EF5" w:rsidP="005E42A1">
            <w:pPr>
              <w:widowControl w:val="0"/>
              <w:suppressAutoHyphens/>
              <w:spacing w:after="200" w:line="276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3A1DFA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 xml:space="preserve">Administrator - </w:t>
            </w:r>
            <w:r w:rsidRPr="003A1DF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eastAsia="zh-CN"/>
              </w:rPr>
              <w:t>Studii superioare finalizate cu diploma, în domeniul fundamental al ştiinţelor economice sau echivalentă</w:t>
            </w:r>
          </w:p>
          <w:p w:rsidR="00AF2EF5" w:rsidRPr="003A1DFA" w:rsidRDefault="00AF2EF5" w:rsidP="00AF2EF5">
            <w:pPr>
              <w:numPr>
                <w:ilvl w:val="0"/>
                <w:numId w:val="1"/>
              </w:numPr>
              <w:suppressAutoHyphens/>
              <w:spacing w:line="276" w:lineRule="auto"/>
              <w:ind w:left="312" w:hanging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v-SE" w:eastAsia="zh-CN"/>
              </w:rPr>
            </w:pPr>
            <w:r w:rsidRPr="003A1DFA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(1 post)</w:t>
            </w:r>
          </w:p>
          <w:p w:rsidR="00AF2EF5" w:rsidRPr="003A1DFA" w:rsidRDefault="00AF2EF5" w:rsidP="00AF2EF5">
            <w:pPr>
              <w:numPr>
                <w:ilvl w:val="0"/>
                <w:numId w:val="1"/>
              </w:numPr>
              <w:suppressAutoHyphens/>
              <w:spacing w:line="276" w:lineRule="auto"/>
              <w:ind w:left="312" w:hanging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v-SE" w:eastAsia="zh-CN"/>
              </w:rPr>
            </w:pPr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Experienţă în conducerea societăților sau regiilor autonome (art. 28 alin. (1) din Ordonanța de Urgență a Guvernului nr. 109/2011 privind guvernanța corporativă a întreprinderilor publice, cu modificările și completările ulterioare) de </w:t>
            </w:r>
            <w:r w:rsidRPr="003A1DF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zh-CN"/>
              </w:rPr>
              <w:t>minim 1 an</w:t>
            </w:r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  <w:t xml:space="preserve">; </w:t>
            </w:r>
          </w:p>
          <w:p w:rsidR="00AF2EF5" w:rsidRPr="003A1DFA" w:rsidRDefault="00AF2EF5" w:rsidP="00AF2EF5">
            <w:pPr>
              <w:numPr>
                <w:ilvl w:val="0"/>
                <w:numId w:val="1"/>
              </w:numPr>
              <w:suppressAutoHyphens/>
              <w:spacing w:line="276" w:lineRule="auto"/>
              <w:ind w:left="312" w:hanging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v-SE" w:eastAsia="zh-CN"/>
              </w:rPr>
            </w:pPr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sv-SE" w:eastAsia="zh-CN"/>
              </w:rPr>
              <w:t>Studii</w:t>
            </w:r>
            <w:r w:rsidRPr="003A1DFA">
              <w:rPr>
                <w:rFonts w:ascii="Times New Roman" w:eastAsia="Calibri" w:hAnsi="Times New Roman" w:cs="Times New Roman"/>
                <w:sz w:val="20"/>
                <w:szCs w:val="20"/>
                <w:lang w:val="sv-SE" w:eastAsia="zh-CN"/>
              </w:rPr>
              <w:t xml:space="preserve"> superioare şi experienţă în domeniul ştiinţelor  economice,  sau în domeniul de activitate al respectivei întreprinderi publice de </w:t>
            </w:r>
            <w:r w:rsidRPr="003A1DFA">
              <w:rPr>
                <w:rFonts w:ascii="Times New Roman" w:eastAsia="Calibri" w:hAnsi="Times New Roman" w:cs="Times New Roman"/>
                <w:b/>
                <w:sz w:val="20"/>
                <w:szCs w:val="20"/>
                <w:lang w:val="sv-SE" w:eastAsia="zh-CN"/>
              </w:rPr>
              <w:t>cel puţin 7 ani</w:t>
            </w:r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sv-SE" w:eastAsia="zh-CN"/>
              </w:rPr>
              <w:t xml:space="preserve"> (art. 28 alin. </w:t>
            </w:r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  <w:t>(3) din Ordonanța de Urgență a Guvernului nr. 109/2011 privind guvernanța corporativă a întreprinderilor publice, cu modificările și completările ulterioare).</w:t>
            </w:r>
          </w:p>
          <w:p w:rsidR="00AF2EF5" w:rsidRPr="003A1DFA" w:rsidRDefault="00AF2EF5" w:rsidP="00AF2EF5">
            <w:pPr>
              <w:numPr>
                <w:ilvl w:val="0"/>
                <w:numId w:val="1"/>
              </w:numPr>
              <w:suppressAutoHyphens/>
              <w:spacing w:line="276" w:lineRule="auto"/>
              <w:ind w:left="312" w:hanging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v-SE" w:eastAsia="zh-CN"/>
              </w:rPr>
            </w:pPr>
            <w:r w:rsidRPr="003A1DFA">
              <w:rPr>
                <w:rFonts w:ascii="Times New Roman" w:eastAsia="Calibri" w:hAnsi="Times New Roman" w:cs="Times New Roman"/>
                <w:sz w:val="20"/>
                <w:szCs w:val="20"/>
                <w:lang w:val="sv-SE" w:eastAsia="zh-CN"/>
              </w:rPr>
              <w:t xml:space="preserve">Persoana care este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calificată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ca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auditor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financiar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conform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unui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document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emis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de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către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autoritatea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competentă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din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România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,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din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alt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stat membru,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dintr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-un stat membru al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Asociaţiei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Europene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a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Liberului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Schimb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,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din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Elveţia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sau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din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Regatul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Unit al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Marii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Britanii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şi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Irlandei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de Nord,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potrivit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legii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.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Prin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excepţie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de la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această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prevedere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, este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competentă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să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fie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selectată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și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să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facă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parte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din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Comitetul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de audit al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întreprinderii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publice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şi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persoana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care are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experienţă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de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cel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puţin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3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ani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în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audit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statutar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,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dobândită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prin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participarea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la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misiuni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de audit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statutar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în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România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,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în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alt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stat membru,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într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-un stat al AELS,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în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Elveţia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sau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în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Regatul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Unit al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Marii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Britanii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şi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Irlandei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de Nord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sau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în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cadrul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comitetelor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de audit formate la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nivelul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consiliilor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de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administraţie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/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supraveghere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ale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unor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societăţi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/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entităţi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de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interes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public,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dovedită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cu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documente. (art. 34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alin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. 4</w:t>
            </w:r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vertAlign w:val="superscript"/>
                <w:lang w:val="fr-BE" w:eastAsia="zh-CN"/>
              </w:rPr>
              <w:t>1</w:t>
            </w:r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din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Ordonanța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de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Urgență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a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Guvernului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nr. 109/2011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privind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guvernanța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corporativă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a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întreprinderilor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publice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,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cu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modificările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și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completările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 xml:space="preserve"> </w:t>
            </w:r>
            <w:proofErr w:type="spellStart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ulterioare</w:t>
            </w:r>
            <w:proofErr w:type="spellEnd"/>
            <w:r w:rsidRPr="003A1DF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fr-BE" w:eastAsia="zh-CN"/>
              </w:rPr>
              <w:t>).</w:t>
            </w:r>
          </w:p>
          <w:p w:rsidR="00AF2EF5" w:rsidRPr="003A1DFA" w:rsidRDefault="00AF2EF5" w:rsidP="005E42A1">
            <w:pPr>
              <w:widowControl w:val="0"/>
              <w:suppressAutoHyphens/>
              <w:spacing w:after="200" w:line="276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val="sv-SE" w:eastAsia="zh-CN"/>
              </w:rPr>
            </w:pPr>
          </w:p>
        </w:tc>
        <w:tc>
          <w:tcPr>
            <w:tcW w:w="1276" w:type="dxa"/>
          </w:tcPr>
          <w:p w:rsidR="00AF2EF5" w:rsidRPr="003A1DFA" w:rsidRDefault="00AF2EF5" w:rsidP="005E42A1">
            <w:pPr>
              <w:widowControl w:val="0"/>
              <w:suppressAutoHyphens/>
              <w:spacing w:after="200" w:line="276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</w:tbl>
    <w:p w:rsidR="00AF2EF5" w:rsidRPr="003A1DFA" w:rsidRDefault="00AF2EF5" w:rsidP="00AF2EF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:rsidR="003766F3" w:rsidRDefault="00AF2EF5" w:rsidP="00AF2EF5">
      <w:pPr>
        <w:suppressAutoHyphens/>
        <w:spacing w:after="0" w:line="240" w:lineRule="auto"/>
        <w:jc w:val="both"/>
      </w:pPr>
      <w:r w:rsidRPr="003A1DFA">
        <w:rPr>
          <w:rFonts w:ascii="Times New Roman" w:eastAsia="Calibri" w:hAnsi="Times New Roman" w:cs="Times New Roman"/>
          <w:lang w:eastAsia="zh-CN"/>
        </w:rPr>
        <w:t>Semnătura _______________________</w:t>
      </w:r>
      <w:bookmarkStart w:id="0" w:name="_GoBack"/>
      <w:bookmarkEnd w:id="0"/>
    </w:p>
    <w:sectPr w:rsidR="003766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1333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13AE8"/>
    <w:multiLevelType w:val="hybridMultilevel"/>
    <w:tmpl w:val="22384946"/>
    <w:lvl w:ilvl="0" w:tplc="154459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F5"/>
    <w:rsid w:val="0007745A"/>
    <w:rsid w:val="00524837"/>
    <w:rsid w:val="00AF2EF5"/>
    <w:rsid w:val="00C7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B4C7C-8B27-436B-833E-D32AABC7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EF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Dragan</dc:creator>
  <cp:keywords/>
  <dc:description/>
  <cp:lastModifiedBy>Gabriel Dragan</cp:lastModifiedBy>
  <cp:revision>1</cp:revision>
  <dcterms:created xsi:type="dcterms:W3CDTF">2025-10-13T07:06:00Z</dcterms:created>
  <dcterms:modified xsi:type="dcterms:W3CDTF">2025-10-13T07:06:00Z</dcterms:modified>
</cp:coreProperties>
</file>